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58A00" w14:textId="0F56D5FB" w:rsidR="0067454C" w:rsidRDefault="00AC5628" w:rsidP="00CB5BA8">
      <w:pPr>
        <w:spacing w:after="200" w:line="276" w:lineRule="auto"/>
        <w:jc w:val="center"/>
        <w:rPr>
          <w:b/>
          <w:sz w:val="52"/>
        </w:rPr>
      </w:pPr>
      <w:r>
        <w:rPr>
          <w:rFonts w:asciiTheme="minorHAnsi" w:hAnsiTheme="minorHAnsi"/>
          <w:b/>
          <w:bCs/>
          <w:noProof/>
          <w:spacing w:val="-2"/>
          <w:sz w:val="28"/>
          <w:szCs w:val="28"/>
        </w:rPr>
        <w:drawing>
          <wp:inline distT="0" distB="0" distL="0" distR="0" wp14:anchorId="115BC42B" wp14:editId="7474A090">
            <wp:extent cx="5731510" cy="1437636"/>
            <wp:effectExtent l="0" t="0" r="0" b="0"/>
            <wp:docPr id="1236098303" name="Picture 1" descr="A black background with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098303" name="Picture 1" descr="A black background with green lett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37636"/>
                    </a:xfrm>
                    <a:prstGeom prst="rect">
                      <a:avLst/>
                    </a:prstGeom>
                    <a:noFill/>
                  </pic:spPr>
                </pic:pic>
              </a:graphicData>
            </a:graphic>
          </wp:inline>
        </w:drawing>
      </w:r>
    </w:p>
    <w:p w14:paraId="644E28D1" w14:textId="77777777" w:rsidR="0067454C" w:rsidRDefault="0067454C" w:rsidP="00CB5BA8">
      <w:pPr>
        <w:spacing w:after="200" w:line="276" w:lineRule="auto"/>
        <w:jc w:val="center"/>
        <w:rPr>
          <w:b/>
          <w:sz w:val="52"/>
        </w:rPr>
      </w:pPr>
    </w:p>
    <w:p w14:paraId="2580CCCB" w14:textId="77777777" w:rsidR="0067454C" w:rsidRDefault="0067454C" w:rsidP="00CB5BA8">
      <w:pPr>
        <w:spacing w:after="200" w:line="276" w:lineRule="auto"/>
        <w:jc w:val="center"/>
        <w:rPr>
          <w:b/>
          <w:sz w:val="52"/>
        </w:rPr>
      </w:pPr>
    </w:p>
    <w:p w14:paraId="593D4CAE" w14:textId="77777777" w:rsidR="0067454C" w:rsidRDefault="0067454C" w:rsidP="00CB5BA8">
      <w:pPr>
        <w:spacing w:after="200" w:line="276" w:lineRule="auto"/>
        <w:jc w:val="center"/>
        <w:rPr>
          <w:b/>
          <w:sz w:val="52"/>
        </w:rPr>
      </w:pPr>
    </w:p>
    <w:p w14:paraId="1FB38D40" w14:textId="77777777" w:rsidR="0067454C" w:rsidRDefault="0067454C" w:rsidP="00CB5BA8">
      <w:pPr>
        <w:spacing w:after="200" w:line="276" w:lineRule="auto"/>
        <w:jc w:val="center"/>
        <w:rPr>
          <w:b/>
          <w:sz w:val="52"/>
        </w:rPr>
      </w:pPr>
    </w:p>
    <w:p w14:paraId="463E8227" w14:textId="77777777" w:rsidR="00CB5BA8" w:rsidRDefault="00CB5BA8" w:rsidP="00CB5BA8">
      <w:pPr>
        <w:spacing w:after="200" w:line="276" w:lineRule="auto"/>
        <w:jc w:val="center"/>
        <w:rPr>
          <w:b/>
          <w:sz w:val="52"/>
        </w:rPr>
      </w:pPr>
      <w:r w:rsidRPr="009726FF">
        <w:rPr>
          <w:b/>
          <w:sz w:val="52"/>
        </w:rPr>
        <w:t>Data Processor Checklist</w:t>
      </w:r>
    </w:p>
    <w:p w14:paraId="751D14F8" w14:textId="77777777" w:rsidR="00C01367" w:rsidRDefault="00C01367" w:rsidP="00CB5BA8">
      <w:pPr>
        <w:spacing w:after="200" w:line="276" w:lineRule="auto"/>
        <w:jc w:val="center"/>
        <w:rPr>
          <w:b/>
          <w:sz w:val="52"/>
        </w:rPr>
      </w:pPr>
    </w:p>
    <w:p w14:paraId="589DB5DD" w14:textId="77777777" w:rsidR="00C01367" w:rsidRDefault="00C01367" w:rsidP="00CB5BA8">
      <w:pPr>
        <w:spacing w:after="200" w:line="276" w:lineRule="auto"/>
        <w:jc w:val="center"/>
        <w:rPr>
          <w:b/>
          <w:sz w:val="52"/>
        </w:rPr>
      </w:pPr>
    </w:p>
    <w:p w14:paraId="4F742585" w14:textId="77777777" w:rsidR="00C01367" w:rsidRDefault="00C01367" w:rsidP="00C01367">
      <w:pPr>
        <w:spacing w:after="200" w:line="276" w:lineRule="auto"/>
        <w:rPr>
          <w:b/>
          <w:sz w:val="52"/>
        </w:rPr>
      </w:pPr>
    </w:p>
    <w:p w14:paraId="507FFB06" w14:textId="77777777" w:rsidR="00C01367" w:rsidRDefault="00C01367" w:rsidP="00C01367">
      <w:pPr>
        <w:rPr>
          <w:b/>
          <w:bCs/>
          <w:spacing w:val="-2"/>
        </w:rPr>
      </w:pPr>
      <w:r w:rsidRPr="006B371E">
        <w:rPr>
          <w:b/>
          <w:bCs/>
          <w:spacing w:val="-2"/>
        </w:rPr>
        <w:t>Version Control</w:t>
      </w:r>
    </w:p>
    <w:p w14:paraId="58CE0532" w14:textId="77777777" w:rsidR="00C01367" w:rsidRDefault="00C01367" w:rsidP="00C01367">
      <w:pPr>
        <w:rPr>
          <w:b/>
          <w:bCs/>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486"/>
      </w:tblGrid>
      <w:tr w:rsidR="00C01367" w:rsidRPr="00EC5FC5" w14:paraId="08215871" w14:textId="77777777" w:rsidTr="00F832CB">
        <w:trPr>
          <w:trHeight w:val="510"/>
          <w:jc w:val="center"/>
        </w:trPr>
        <w:tc>
          <w:tcPr>
            <w:tcW w:w="9509" w:type="dxa"/>
            <w:gridSpan w:val="2"/>
            <w:shd w:val="clear" w:color="auto" w:fill="A8D08D"/>
          </w:tcPr>
          <w:p w14:paraId="72AA3E34" w14:textId="77777777" w:rsidR="00C01367" w:rsidRPr="00850415" w:rsidRDefault="00C01367" w:rsidP="00F832CB">
            <w:pPr>
              <w:rPr>
                <w:rFonts w:cs="Arial"/>
                <w:b/>
              </w:rPr>
            </w:pPr>
            <w:r w:rsidRPr="00850415">
              <w:rPr>
                <w:rFonts w:cs="Arial"/>
                <w:b/>
              </w:rPr>
              <w:t>Scope:     Applicable to all Trust Schools</w:t>
            </w:r>
          </w:p>
        </w:tc>
      </w:tr>
      <w:tr w:rsidR="00C01367" w14:paraId="2E73AED6" w14:textId="77777777" w:rsidTr="00F832CB">
        <w:trPr>
          <w:jc w:val="center"/>
        </w:trPr>
        <w:tc>
          <w:tcPr>
            <w:tcW w:w="4759" w:type="dxa"/>
            <w:shd w:val="clear" w:color="auto" w:fill="auto"/>
          </w:tcPr>
          <w:p w14:paraId="024A8ACC" w14:textId="77777777" w:rsidR="00C01367" w:rsidRPr="00850415" w:rsidRDefault="00C01367" w:rsidP="00F832CB">
            <w:pPr>
              <w:rPr>
                <w:rFonts w:cs="Arial"/>
              </w:rPr>
            </w:pPr>
            <w:r w:rsidRPr="00850415">
              <w:rPr>
                <w:rFonts w:cs="Arial"/>
              </w:rPr>
              <w:t>Date</w:t>
            </w:r>
            <w:r>
              <w:rPr>
                <w:rFonts w:cs="Arial"/>
              </w:rPr>
              <w:t xml:space="preserve"> to Bo</w:t>
            </w:r>
            <w:r w:rsidRPr="00850415">
              <w:rPr>
                <w:rFonts w:cs="Arial"/>
              </w:rPr>
              <w:t>ard:</w:t>
            </w:r>
          </w:p>
        </w:tc>
        <w:tc>
          <w:tcPr>
            <w:tcW w:w="4755" w:type="dxa"/>
            <w:shd w:val="clear" w:color="auto" w:fill="auto"/>
          </w:tcPr>
          <w:p w14:paraId="00BB59E1" w14:textId="77777777" w:rsidR="00C01367" w:rsidRPr="00850415" w:rsidRDefault="00C01367" w:rsidP="00F832CB">
            <w:pPr>
              <w:rPr>
                <w:rFonts w:cs="Arial"/>
              </w:rPr>
            </w:pPr>
            <w:r>
              <w:rPr>
                <w:rFonts w:cs="Arial"/>
              </w:rPr>
              <w:t>10/07/2024</w:t>
            </w:r>
          </w:p>
        </w:tc>
      </w:tr>
      <w:tr w:rsidR="00C01367" w14:paraId="669A1552" w14:textId="77777777" w:rsidTr="00F832CB">
        <w:trPr>
          <w:jc w:val="center"/>
        </w:trPr>
        <w:tc>
          <w:tcPr>
            <w:tcW w:w="4759" w:type="dxa"/>
            <w:shd w:val="clear" w:color="auto" w:fill="auto"/>
          </w:tcPr>
          <w:p w14:paraId="270704A8" w14:textId="77777777" w:rsidR="00C01367" w:rsidRPr="00850415" w:rsidRDefault="00C01367" w:rsidP="00F832CB">
            <w:pPr>
              <w:rPr>
                <w:rFonts w:cs="Arial"/>
              </w:rPr>
            </w:pPr>
            <w:r w:rsidRPr="00850415">
              <w:rPr>
                <w:rFonts w:cs="Arial"/>
              </w:rPr>
              <w:t>Review date:</w:t>
            </w:r>
          </w:p>
        </w:tc>
        <w:tc>
          <w:tcPr>
            <w:tcW w:w="4755" w:type="dxa"/>
            <w:shd w:val="clear" w:color="auto" w:fill="auto"/>
          </w:tcPr>
          <w:p w14:paraId="534A5B36" w14:textId="41B66F2F" w:rsidR="00C01367" w:rsidRPr="00850415" w:rsidRDefault="00C01367" w:rsidP="00F832CB">
            <w:pPr>
              <w:rPr>
                <w:rFonts w:cs="Arial"/>
              </w:rPr>
            </w:pPr>
            <w:r>
              <w:rPr>
                <w:rFonts w:cs="Arial"/>
              </w:rPr>
              <w:t>Summer Term 202</w:t>
            </w:r>
            <w:r w:rsidR="00DC1741">
              <w:rPr>
                <w:rFonts w:cs="Arial"/>
              </w:rPr>
              <w:t>5</w:t>
            </w:r>
          </w:p>
        </w:tc>
      </w:tr>
      <w:tr w:rsidR="00C01367" w14:paraId="235BB16A" w14:textId="77777777" w:rsidTr="00F832CB">
        <w:trPr>
          <w:jc w:val="center"/>
        </w:trPr>
        <w:tc>
          <w:tcPr>
            <w:tcW w:w="4759" w:type="dxa"/>
            <w:shd w:val="clear" w:color="auto" w:fill="auto"/>
          </w:tcPr>
          <w:p w14:paraId="4030E61F" w14:textId="77777777" w:rsidR="00C01367" w:rsidRPr="00850415" w:rsidRDefault="00C01367" w:rsidP="00F832CB">
            <w:pPr>
              <w:rPr>
                <w:rFonts w:cs="Arial"/>
              </w:rPr>
            </w:pPr>
            <w:r w:rsidRPr="00850415">
              <w:rPr>
                <w:rFonts w:cs="Arial"/>
              </w:rPr>
              <w:t xml:space="preserve">Union </w:t>
            </w:r>
            <w:r>
              <w:rPr>
                <w:rFonts w:cs="Arial"/>
              </w:rPr>
              <w:t>Consultation Date</w:t>
            </w:r>
            <w:r w:rsidRPr="00850415">
              <w:rPr>
                <w:rFonts w:cs="Arial"/>
              </w:rPr>
              <w:t>:</w:t>
            </w:r>
          </w:p>
        </w:tc>
        <w:tc>
          <w:tcPr>
            <w:tcW w:w="4755" w:type="dxa"/>
            <w:shd w:val="clear" w:color="auto" w:fill="auto"/>
          </w:tcPr>
          <w:p w14:paraId="2EF90C5A" w14:textId="77777777" w:rsidR="00C01367" w:rsidRPr="00404615" w:rsidRDefault="00C01367" w:rsidP="00F832CB">
            <w:pPr>
              <w:tabs>
                <w:tab w:val="center" w:pos="2130"/>
              </w:tabs>
              <w:rPr>
                <w:rFonts w:cs="Arial"/>
              </w:rPr>
            </w:pPr>
            <w:r>
              <w:rPr>
                <w:rFonts w:cs="Arial"/>
              </w:rPr>
              <w:t>N/A</w:t>
            </w:r>
          </w:p>
        </w:tc>
      </w:tr>
      <w:tr w:rsidR="00C01367" w14:paraId="0BE50D3D" w14:textId="77777777" w:rsidTr="00F832CB">
        <w:trPr>
          <w:jc w:val="center"/>
        </w:trPr>
        <w:tc>
          <w:tcPr>
            <w:tcW w:w="4759" w:type="dxa"/>
            <w:shd w:val="clear" w:color="auto" w:fill="auto"/>
          </w:tcPr>
          <w:p w14:paraId="0FB1E562" w14:textId="77777777" w:rsidR="00C01367" w:rsidRPr="00850415" w:rsidRDefault="00C01367" w:rsidP="00F832CB">
            <w:pPr>
              <w:rPr>
                <w:rFonts w:cs="Arial"/>
              </w:rPr>
            </w:pPr>
            <w:r w:rsidRPr="00850415">
              <w:rPr>
                <w:rFonts w:cs="Arial"/>
              </w:rPr>
              <w:t>Statutory or non-statutory:</w:t>
            </w:r>
          </w:p>
        </w:tc>
        <w:tc>
          <w:tcPr>
            <w:tcW w:w="4755" w:type="dxa"/>
            <w:shd w:val="clear" w:color="auto" w:fill="auto"/>
          </w:tcPr>
          <w:p w14:paraId="36B9AB15" w14:textId="77777777" w:rsidR="00C01367" w:rsidRPr="00850415" w:rsidRDefault="00C01367" w:rsidP="00F832CB">
            <w:pPr>
              <w:rPr>
                <w:rFonts w:cs="Arial"/>
              </w:rPr>
            </w:pPr>
            <w:r>
              <w:rPr>
                <w:rFonts w:cs="Arial"/>
              </w:rPr>
              <w:t>Non-</w:t>
            </w:r>
            <w:r w:rsidRPr="00850415">
              <w:rPr>
                <w:rFonts w:cs="Arial"/>
              </w:rPr>
              <w:t xml:space="preserve">Statutory </w:t>
            </w:r>
          </w:p>
        </w:tc>
      </w:tr>
      <w:tr w:rsidR="00C01367" w14:paraId="57CC8562" w14:textId="77777777" w:rsidTr="00F832CB">
        <w:trPr>
          <w:jc w:val="center"/>
        </w:trPr>
        <w:tc>
          <w:tcPr>
            <w:tcW w:w="4759" w:type="dxa"/>
            <w:shd w:val="clear" w:color="auto" w:fill="auto"/>
          </w:tcPr>
          <w:p w14:paraId="6D399102" w14:textId="77777777" w:rsidR="00C01367" w:rsidRPr="00850415" w:rsidRDefault="00C01367" w:rsidP="00F832CB">
            <w:pPr>
              <w:rPr>
                <w:rFonts w:cs="Arial"/>
              </w:rPr>
            </w:pPr>
            <w:r w:rsidRPr="00850415">
              <w:rPr>
                <w:rFonts w:cs="Arial"/>
              </w:rPr>
              <w:t>Author/Reviewer:</w:t>
            </w:r>
          </w:p>
        </w:tc>
        <w:tc>
          <w:tcPr>
            <w:tcW w:w="4755" w:type="dxa"/>
            <w:shd w:val="clear" w:color="auto" w:fill="auto"/>
          </w:tcPr>
          <w:p w14:paraId="547CEE3D" w14:textId="77777777" w:rsidR="00C01367" w:rsidRPr="00850415" w:rsidRDefault="00C01367" w:rsidP="00F832CB">
            <w:pPr>
              <w:rPr>
                <w:rFonts w:cs="Arial"/>
              </w:rPr>
            </w:pPr>
            <w:r>
              <w:rPr>
                <w:rFonts w:cs="Arial"/>
              </w:rPr>
              <w:t>Catherine Cox - TEO</w:t>
            </w:r>
          </w:p>
        </w:tc>
      </w:tr>
    </w:tbl>
    <w:p w14:paraId="137D7F0E" w14:textId="77777777" w:rsidR="00C01367" w:rsidRDefault="00C01367" w:rsidP="00CB5BA8">
      <w:pPr>
        <w:spacing w:after="200" w:line="276" w:lineRule="auto"/>
        <w:jc w:val="center"/>
        <w:rPr>
          <w:b/>
          <w:sz w:val="52"/>
        </w:rPr>
      </w:pPr>
    </w:p>
    <w:p w14:paraId="6713EAF5" w14:textId="77777777" w:rsidR="00CB5BA8" w:rsidRPr="003F2598" w:rsidRDefault="00CB5BA8" w:rsidP="00CB5BA8">
      <w:pPr>
        <w:widowControl w:val="0"/>
        <w:overflowPunct w:val="0"/>
        <w:autoSpaceDE w:val="0"/>
        <w:autoSpaceDN w:val="0"/>
        <w:adjustRightInd w:val="0"/>
        <w:spacing w:after="0"/>
        <w:jc w:val="left"/>
        <w:textAlignment w:val="baseline"/>
        <w:outlineLvl w:val="0"/>
        <w:rPr>
          <w:b/>
          <w:sz w:val="22"/>
          <w:szCs w:val="22"/>
          <w:lang w:eastAsia="en-US"/>
        </w:rPr>
      </w:pPr>
      <w:r>
        <w:rPr>
          <w:b/>
          <w:sz w:val="52"/>
        </w:rPr>
        <w:br w:type="page"/>
      </w:r>
      <w:bookmarkStart w:id="0" w:name="_Toc496630839"/>
      <w:r w:rsidRPr="003F2598">
        <w:rPr>
          <w:b/>
          <w:sz w:val="22"/>
          <w:szCs w:val="22"/>
          <w:lang w:eastAsia="en-US"/>
        </w:rPr>
        <w:lastRenderedPageBreak/>
        <w:t>Guidance to the Data processor Checklist</w:t>
      </w:r>
      <w:bookmarkEnd w:id="0"/>
      <w:r>
        <w:rPr>
          <w:b/>
          <w:sz w:val="22"/>
          <w:szCs w:val="22"/>
          <w:lang w:eastAsia="en-US"/>
        </w:rPr>
        <w:tab/>
      </w:r>
      <w:r>
        <w:rPr>
          <w:b/>
          <w:sz w:val="22"/>
          <w:szCs w:val="22"/>
          <w:lang w:eastAsia="en-US"/>
        </w:rPr>
        <w:tab/>
      </w:r>
      <w:r>
        <w:rPr>
          <w:b/>
          <w:sz w:val="22"/>
          <w:szCs w:val="22"/>
          <w:lang w:eastAsia="en-US"/>
        </w:rPr>
        <w:tab/>
      </w:r>
      <w:r>
        <w:rPr>
          <w:b/>
          <w:sz w:val="22"/>
          <w:szCs w:val="22"/>
          <w:lang w:eastAsia="en-US"/>
        </w:rPr>
        <w:tab/>
      </w:r>
      <w:r>
        <w:rPr>
          <w:b/>
          <w:sz w:val="22"/>
          <w:szCs w:val="22"/>
          <w:lang w:eastAsia="en-US"/>
        </w:rPr>
        <w:tab/>
      </w:r>
      <w:r>
        <w:rPr>
          <w:b/>
          <w:sz w:val="22"/>
          <w:szCs w:val="22"/>
          <w:lang w:eastAsia="en-US"/>
        </w:rPr>
        <w:tab/>
      </w:r>
      <w:r>
        <w:rPr>
          <w:b/>
          <w:sz w:val="22"/>
          <w:szCs w:val="22"/>
          <w:lang w:eastAsia="en-US"/>
        </w:rPr>
        <w:tab/>
      </w:r>
    </w:p>
    <w:p w14:paraId="02299C37" w14:textId="77777777" w:rsidR="00CB5BA8" w:rsidRPr="000F00CD" w:rsidRDefault="00CB5BA8" w:rsidP="00CB5BA8">
      <w:pPr>
        <w:spacing w:after="200" w:line="276" w:lineRule="auto"/>
        <w:rPr>
          <w:rFonts w:cs="Arial"/>
          <w:sz w:val="22"/>
          <w:szCs w:val="22"/>
        </w:rPr>
      </w:pPr>
      <w:r w:rsidRPr="000F00CD">
        <w:rPr>
          <w:rFonts w:cs="Arial"/>
          <w:sz w:val="22"/>
          <w:szCs w:val="22"/>
        </w:rPr>
        <w:t>This checklist should be used whenever you are using a third party to deal with personal data on your behalf. You will continue to be responsible for the information, and the third party will be restricted to doing only what you tell them. They will have no right to keep or use the information for any of their own purposes. You will be the Data Controller, and the thir</w:t>
      </w:r>
      <w:r>
        <w:rPr>
          <w:rFonts w:cs="Arial"/>
          <w:sz w:val="22"/>
          <w:szCs w:val="22"/>
        </w:rPr>
        <w:t xml:space="preserve">d party is the Data Processor. </w:t>
      </w:r>
    </w:p>
    <w:p w14:paraId="115A89FA" w14:textId="77777777" w:rsidR="00CB5BA8" w:rsidRPr="000F00CD" w:rsidRDefault="00CB5BA8" w:rsidP="00CB5BA8">
      <w:pPr>
        <w:spacing w:after="200" w:line="276" w:lineRule="auto"/>
        <w:rPr>
          <w:rFonts w:cs="Arial"/>
          <w:sz w:val="22"/>
          <w:szCs w:val="22"/>
        </w:rPr>
      </w:pPr>
      <w:r w:rsidRPr="000F00CD">
        <w:rPr>
          <w:rFonts w:cs="Arial"/>
          <w:sz w:val="22"/>
          <w:szCs w:val="22"/>
        </w:rPr>
        <w:t>Controllers are required to use only processors providing sufficient guarantees to implement appropriate data protection measures and ensure compliance. Adherence of a processor to an approved code of conduct or approved certification assist</w:t>
      </w:r>
      <w:r>
        <w:rPr>
          <w:rFonts w:cs="Arial"/>
          <w:sz w:val="22"/>
          <w:szCs w:val="22"/>
        </w:rPr>
        <w:t>s</w:t>
      </w:r>
      <w:r w:rsidRPr="000F00CD">
        <w:rPr>
          <w:rFonts w:cs="Arial"/>
          <w:sz w:val="22"/>
          <w:szCs w:val="22"/>
        </w:rPr>
        <w:t xml:space="preserve"> in demonstrating that sufficient guarantees exist. We recommend that the Processor’s adherence to an approved code of conduct or approved certification should be recited in the agreeme</w:t>
      </w:r>
      <w:r>
        <w:rPr>
          <w:rFonts w:cs="Arial"/>
          <w:sz w:val="22"/>
          <w:szCs w:val="22"/>
        </w:rPr>
        <w:t>nt you have with the Processor.</w:t>
      </w:r>
    </w:p>
    <w:p w14:paraId="596C04CD" w14:textId="77777777" w:rsidR="00CB5BA8" w:rsidRPr="000F00CD" w:rsidRDefault="00CB5BA8" w:rsidP="00CB5BA8">
      <w:pPr>
        <w:spacing w:after="200" w:line="276" w:lineRule="auto"/>
        <w:rPr>
          <w:rFonts w:cs="Arial"/>
          <w:sz w:val="22"/>
          <w:szCs w:val="22"/>
        </w:rPr>
      </w:pPr>
      <w:r w:rsidRPr="000F00CD">
        <w:rPr>
          <w:rFonts w:cs="Arial"/>
          <w:sz w:val="22"/>
          <w:szCs w:val="22"/>
        </w:rPr>
        <w:t>To comply with the law, your agre</w:t>
      </w:r>
      <w:r>
        <w:rPr>
          <w:rFonts w:cs="Arial"/>
          <w:sz w:val="22"/>
          <w:szCs w:val="22"/>
        </w:rPr>
        <w:t xml:space="preserve">ement with the Processor must: </w:t>
      </w:r>
    </w:p>
    <w:p w14:paraId="20011A2C" w14:textId="77777777" w:rsidR="00CB5BA8" w:rsidRPr="00B838C9" w:rsidRDefault="00CB5BA8" w:rsidP="00CB5BA8">
      <w:pPr>
        <w:pStyle w:val="ListParagraph"/>
        <w:numPr>
          <w:ilvl w:val="0"/>
          <w:numId w:val="4"/>
        </w:numPr>
        <w:spacing w:after="200" w:line="276" w:lineRule="auto"/>
        <w:rPr>
          <w:rFonts w:cs="Arial"/>
          <w:sz w:val="22"/>
          <w:szCs w:val="22"/>
        </w:rPr>
      </w:pPr>
      <w:r w:rsidRPr="00B838C9">
        <w:rPr>
          <w:rFonts w:cs="Arial"/>
          <w:sz w:val="22"/>
          <w:szCs w:val="22"/>
        </w:rPr>
        <w:t>Be in writing</w:t>
      </w:r>
    </w:p>
    <w:p w14:paraId="6555BA76" w14:textId="77777777" w:rsidR="00CB5BA8" w:rsidRPr="00B838C9" w:rsidRDefault="00CB5BA8" w:rsidP="00CB5BA8">
      <w:pPr>
        <w:pStyle w:val="ListParagraph"/>
        <w:numPr>
          <w:ilvl w:val="0"/>
          <w:numId w:val="4"/>
        </w:numPr>
        <w:spacing w:after="200" w:line="276" w:lineRule="auto"/>
        <w:rPr>
          <w:rFonts w:cs="Arial"/>
          <w:sz w:val="22"/>
          <w:szCs w:val="22"/>
        </w:rPr>
      </w:pPr>
      <w:r w:rsidRPr="00B838C9">
        <w:rPr>
          <w:rFonts w:cs="Arial"/>
          <w:sz w:val="22"/>
          <w:szCs w:val="22"/>
        </w:rPr>
        <w:t>Contain the following information on the processing:</w:t>
      </w:r>
    </w:p>
    <w:p w14:paraId="24DF2EB7" w14:textId="77777777" w:rsidR="00CB5BA8" w:rsidRPr="003F2598" w:rsidRDefault="00CB5BA8" w:rsidP="00CB5BA8">
      <w:pPr>
        <w:pStyle w:val="ListParagraph"/>
        <w:numPr>
          <w:ilvl w:val="0"/>
          <w:numId w:val="1"/>
        </w:numPr>
        <w:spacing w:after="200" w:line="276" w:lineRule="auto"/>
        <w:ind w:left="1080"/>
        <w:rPr>
          <w:rFonts w:cs="Arial"/>
          <w:sz w:val="22"/>
          <w:szCs w:val="22"/>
        </w:rPr>
      </w:pPr>
      <w:r w:rsidRPr="003F2598">
        <w:rPr>
          <w:rFonts w:cs="Arial"/>
          <w:sz w:val="22"/>
          <w:szCs w:val="22"/>
        </w:rPr>
        <w:t xml:space="preserve">its subject matter and </w:t>
      </w:r>
      <w:proofErr w:type="gramStart"/>
      <w:r w:rsidRPr="003F2598">
        <w:rPr>
          <w:rFonts w:cs="Arial"/>
          <w:sz w:val="22"/>
          <w:szCs w:val="22"/>
        </w:rPr>
        <w:t>duration;</w:t>
      </w:r>
      <w:proofErr w:type="gramEnd"/>
    </w:p>
    <w:p w14:paraId="210FE0E6" w14:textId="77777777" w:rsidR="00CB5BA8" w:rsidRPr="003F2598" w:rsidRDefault="00CB5BA8" w:rsidP="00CB5BA8">
      <w:pPr>
        <w:pStyle w:val="ListParagraph"/>
        <w:numPr>
          <w:ilvl w:val="0"/>
          <w:numId w:val="2"/>
        </w:numPr>
        <w:spacing w:after="200" w:line="276" w:lineRule="auto"/>
        <w:ind w:left="1080"/>
        <w:rPr>
          <w:rFonts w:cs="Arial"/>
          <w:sz w:val="22"/>
          <w:szCs w:val="22"/>
        </w:rPr>
      </w:pPr>
      <w:r w:rsidRPr="003F2598">
        <w:rPr>
          <w:rFonts w:cs="Arial"/>
          <w:sz w:val="22"/>
          <w:szCs w:val="22"/>
        </w:rPr>
        <w:t xml:space="preserve">the nature and purpose of the </w:t>
      </w:r>
      <w:proofErr w:type="gramStart"/>
      <w:r w:rsidRPr="003F2598">
        <w:rPr>
          <w:rFonts w:cs="Arial"/>
          <w:sz w:val="22"/>
          <w:szCs w:val="22"/>
        </w:rPr>
        <w:t>processing;</w:t>
      </w:r>
      <w:proofErr w:type="gramEnd"/>
    </w:p>
    <w:p w14:paraId="793396CA" w14:textId="77777777" w:rsidR="00CB5BA8" w:rsidRDefault="00CB5BA8" w:rsidP="00CB5BA8">
      <w:pPr>
        <w:pStyle w:val="ListParagraph"/>
        <w:numPr>
          <w:ilvl w:val="0"/>
          <w:numId w:val="3"/>
        </w:numPr>
        <w:spacing w:after="200" w:line="276" w:lineRule="auto"/>
        <w:ind w:left="1080"/>
        <w:rPr>
          <w:rFonts w:cs="Arial"/>
          <w:sz w:val="22"/>
          <w:szCs w:val="22"/>
        </w:rPr>
      </w:pPr>
      <w:r w:rsidRPr="003F2598">
        <w:rPr>
          <w:rFonts w:cs="Arial"/>
          <w:sz w:val="22"/>
          <w:szCs w:val="22"/>
        </w:rPr>
        <w:t xml:space="preserve">the type of personal </w:t>
      </w:r>
      <w:proofErr w:type="gramStart"/>
      <w:r w:rsidRPr="003F2598">
        <w:rPr>
          <w:rFonts w:cs="Arial"/>
          <w:sz w:val="22"/>
          <w:szCs w:val="22"/>
        </w:rPr>
        <w:t>data;</w:t>
      </w:r>
      <w:proofErr w:type="gramEnd"/>
    </w:p>
    <w:p w14:paraId="4B2CCF46" w14:textId="77777777" w:rsidR="00CB5BA8" w:rsidRPr="00B838C9" w:rsidRDefault="00CB5BA8" w:rsidP="00CB5BA8">
      <w:pPr>
        <w:pStyle w:val="ListParagraph"/>
        <w:numPr>
          <w:ilvl w:val="0"/>
          <w:numId w:val="3"/>
        </w:numPr>
        <w:spacing w:after="200" w:line="276" w:lineRule="auto"/>
        <w:ind w:left="1080"/>
        <w:rPr>
          <w:rFonts w:cs="Arial"/>
          <w:sz w:val="22"/>
          <w:szCs w:val="22"/>
        </w:rPr>
      </w:pPr>
      <w:r w:rsidRPr="00B838C9">
        <w:rPr>
          <w:rFonts w:cs="Arial"/>
          <w:sz w:val="22"/>
          <w:szCs w:val="22"/>
        </w:rPr>
        <w:t>the categories of individ</w:t>
      </w:r>
      <w:r>
        <w:rPr>
          <w:rFonts w:cs="Arial"/>
          <w:sz w:val="22"/>
          <w:szCs w:val="22"/>
        </w:rPr>
        <w:t>uals who are the data subjects.</w:t>
      </w:r>
    </w:p>
    <w:p w14:paraId="11188F11" w14:textId="77777777" w:rsidR="00CB5BA8" w:rsidRPr="00B838C9" w:rsidRDefault="00CB5BA8" w:rsidP="00CB5BA8">
      <w:pPr>
        <w:pStyle w:val="ListParagraph"/>
        <w:numPr>
          <w:ilvl w:val="0"/>
          <w:numId w:val="3"/>
        </w:numPr>
        <w:spacing w:after="200" w:line="276" w:lineRule="auto"/>
        <w:rPr>
          <w:rFonts w:cs="Arial"/>
          <w:sz w:val="22"/>
          <w:szCs w:val="22"/>
        </w:rPr>
      </w:pPr>
      <w:r w:rsidRPr="00B838C9">
        <w:rPr>
          <w:rFonts w:cs="Arial"/>
          <w:sz w:val="22"/>
          <w:szCs w:val="22"/>
        </w:rPr>
        <w:t xml:space="preserve">Expressly state that the Processor can only act on your instructions as the Controller. </w:t>
      </w:r>
    </w:p>
    <w:p w14:paraId="76354275" w14:textId="77777777" w:rsidR="00CB5BA8" w:rsidRPr="00B838C9" w:rsidRDefault="00CB5BA8" w:rsidP="00CB5BA8">
      <w:pPr>
        <w:pStyle w:val="ListParagraph"/>
        <w:numPr>
          <w:ilvl w:val="0"/>
          <w:numId w:val="3"/>
        </w:numPr>
        <w:spacing w:after="200" w:line="276" w:lineRule="auto"/>
        <w:rPr>
          <w:rFonts w:cs="Arial"/>
          <w:sz w:val="22"/>
          <w:szCs w:val="22"/>
        </w:rPr>
      </w:pPr>
      <w:r w:rsidRPr="00B838C9">
        <w:rPr>
          <w:rFonts w:cs="Arial"/>
          <w:sz w:val="22"/>
          <w:szCs w:val="22"/>
        </w:rPr>
        <w:t xml:space="preserve">Require the Processor to impose a duty of confidentiality on relevant staff. </w:t>
      </w:r>
    </w:p>
    <w:p w14:paraId="7443870D" w14:textId="77777777" w:rsidR="00CB5BA8" w:rsidRPr="00B838C9" w:rsidRDefault="00CB5BA8" w:rsidP="00CB5BA8">
      <w:pPr>
        <w:pStyle w:val="ListParagraph"/>
        <w:numPr>
          <w:ilvl w:val="0"/>
          <w:numId w:val="3"/>
        </w:numPr>
        <w:spacing w:after="200" w:line="276" w:lineRule="auto"/>
        <w:rPr>
          <w:rFonts w:cs="Arial"/>
          <w:sz w:val="22"/>
          <w:szCs w:val="22"/>
        </w:rPr>
      </w:pPr>
      <w:r w:rsidRPr="00B838C9">
        <w:rPr>
          <w:rFonts w:cs="Arial"/>
          <w:sz w:val="22"/>
          <w:szCs w:val="22"/>
        </w:rPr>
        <w:t xml:space="preserve">Require the Processor to implement relevant security measures to protect the data. You can specify what those measures are, and what you impose will depend upon the type and sensitivity of the information. </w:t>
      </w:r>
    </w:p>
    <w:p w14:paraId="5DA0E400" w14:textId="77777777" w:rsidR="00CB5BA8" w:rsidRPr="00B838C9" w:rsidRDefault="00CB5BA8" w:rsidP="00CB5BA8">
      <w:pPr>
        <w:pStyle w:val="ListParagraph"/>
        <w:numPr>
          <w:ilvl w:val="0"/>
          <w:numId w:val="3"/>
        </w:numPr>
        <w:spacing w:after="200" w:line="276" w:lineRule="auto"/>
        <w:rPr>
          <w:rFonts w:cs="Arial"/>
          <w:sz w:val="22"/>
          <w:szCs w:val="22"/>
        </w:rPr>
      </w:pPr>
      <w:r w:rsidRPr="00B838C9">
        <w:rPr>
          <w:rFonts w:cs="Arial"/>
          <w:sz w:val="22"/>
          <w:szCs w:val="22"/>
        </w:rPr>
        <w:t xml:space="preserve">Require the Processor to seek your prior written permission as Controller to engage a sub-contractor. </w:t>
      </w:r>
    </w:p>
    <w:p w14:paraId="0057AB98" w14:textId="77777777" w:rsidR="00CB5BA8" w:rsidRPr="00B838C9" w:rsidRDefault="00CB5BA8" w:rsidP="00CB5BA8">
      <w:pPr>
        <w:pStyle w:val="ListParagraph"/>
        <w:numPr>
          <w:ilvl w:val="0"/>
          <w:numId w:val="3"/>
        </w:numPr>
        <w:spacing w:after="200" w:line="276" w:lineRule="auto"/>
        <w:rPr>
          <w:rFonts w:cs="Arial"/>
          <w:sz w:val="22"/>
          <w:szCs w:val="22"/>
        </w:rPr>
      </w:pPr>
      <w:r w:rsidRPr="00B838C9">
        <w:rPr>
          <w:rFonts w:cs="Arial"/>
          <w:sz w:val="22"/>
          <w:szCs w:val="22"/>
        </w:rPr>
        <w:t xml:space="preserve">Require the Processor to make all necessary arrangements to ensure that as the Controller you can respect the rights of the individuals under data protection law. As an example, the Processor must be required to make available any personal data should an individual make a Subject Access Request; must be able to delete or rectify data if necessary and must enable data portability where applicable. </w:t>
      </w:r>
    </w:p>
    <w:p w14:paraId="3E5EA6A8" w14:textId="77777777" w:rsidR="00CB5BA8" w:rsidRPr="00B838C9" w:rsidRDefault="00CB5BA8" w:rsidP="00CB5BA8">
      <w:pPr>
        <w:pStyle w:val="ListParagraph"/>
        <w:numPr>
          <w:ilvl w:val="0"/>
          <w:numId w:val="3"/>
        </w:numPr>
        <w:spacing w:after="200" w:line="276" w:lineRule="auto"/>
        <w:rPr>
          <w:rFonts w:cs="Arial"/>
          <w:sz w:val="22"/>
          <w:szCs w:val="22"/>
        </w:rPr>
      </w:pPr>
      <w:r w:rsidRPr="00B838C9">
        <w:rPr>
          <w:rFonts w:cs="Arial"/>
          <w:sz w:val="22"/>
          <w:szCs w:val="22"/>
        </w:rPr>
        <w:t xml:space="preserve">Require the Data Processor to have in place the necessary means of assisting you as the Controller to meet your obligations under data protection law. This includes ensuring security of data, co-operating in relation to your notification of breaches to the Information Commissioner’s Office and data subjects, and with preparation of data protection impact assessments. </w:t>
      </w:r>
    </w:p>
    <w:p w14:paraId="502C5CF7" w14:textId="77777777" w:rsidR="00CB5BA8" w:rsidRPr="00B838C9" w:rsidRDefault="00CB5BA8" w:rsidP="00CB5BA8">
      <w:pPr>
        <w:pStyle w:val="ListParagraph"/>
        <w:numPr>
          <w:ilvl w:val="0"/>
          <w:numId w:val="3"/>
        </w:numPr>
        <w:spacing w:after="200" w:line="276" w:lineRule="auto"/>
        <w:rPr>
          <w:rFonts w:cs="Arial"/>
          <w:sz w:val="22"/>
          <w:szCs w:val="22"/>
        </w:rPr>
      </w:pPr>
      <w:r w:rsidRPr="00B838C9">
        <w:rPr>
          <w:rFonts w:cs="Arial"/>
          <w:sz w:val="22"/>
          <w:szCs w:val="22"/>
        </w:rPr>
        <w:t xml:space="preserve">Require the Processor to assist you as the Controller in meeting any obligations imposed by the Information Commissioner’s Office, by allowing access to information, and details of activities and systems </w:t>
      </w:r>
      <w:proofErr w:type="gramStart"/>
      <w:r w:rsidRPr="00B838C9">
        <w:rPr>
          <w:rFonts w:cs="Arial"/>
          <w:sz w:val="22"/>
          <w:szCs w:val="22"/>
        </w:rPr>
        <w:t>if and when</w:t>
      </w:r>
      <w:proofErr w:type="gramEnd"/>
      <w:r w:rsidRPr="00B838C9">
        <w:rPr>
          <w:rFonts w:cs="Arial"/>
          <w:sz w:val="22"/>
          <w:szCs w:val="22"/>
        </w:rPr>
        <w:t xml:space="preserve"> required. </w:t>
      </w:r>
    </w:p>
    <w:p w14:paraId="50F7411A" w14:textId="77777777" w:rsidR="00CB5BA8" w:rsidRPr="00B838C9" w:rsidRDefault="00CB5BA8" w:rsidP="00CB5BA8">
      <w:pPr>
        <w:pStyle w:val="ListParagraph"/>
        <w:numPr>
          <w:ilvl w:val="0"/>
          <w:numId w:val="3"/>
        </w:numPr>
        <w:spacing w:after="200" w:line="276" w:lineRule="auto"/>
        <w:rPr>
          <w:rFonts w:cs="Arial"/>
          <w:sz w:val="22"/>
          <w:szCs w:val="22"/>
        </w:rPr>
      </w:pPr>
      <w:r w:rsidRPr="00B838C9">
        <w:rPr>
          <w:rFonts w:cs="Arial"/>
          <w:sz w:val="22"/>
          <w:szCs w:val="22"/>
        </w:rPr>
        <w:t xml:space="preserve">Require the Processor to delete or return the data at the end of the contract. The choice of whether the data is returned or deleted is your decision as the Controller. </w:t>
      </w:r>
    </w:p>
    <w:p w14:paraId="38896653" w14:textId="77777777" w:rsidR="00CB5BA8" w:rsidRPr="00B838C9" w:rsidRDefault="00CB5BA8" w:rsidP="00CB5BA8">
      <w:pPr>
        <w:pStyle w:val="ListParagraph"/>
        <w:numPr>
          <w:ilvl w:val="0"/>
          <w:numId w:val="3"/>
        </w:numPr>
        <w:spacing w:after="200" w:line="276" w:lineRule="auto"/>
        <w:rPr>
          <w:rFonts w:cs="Arial"/>
          <w:sz w:val="22"/>
          <w:szCs w:val="22"/>
        </w:rPr>
      </w:pPr>
      <w:r w:rsidRPr="00B838C9">
        <w:rPr>
          <w:rFonts w:cs="Arial"/>
          <w:sz w:val="22"/>
          <w:szCs w:val="22"/>
        </w:rPr>
        <w:t xml:space="preserve">Require the Processor to provide you with all necessary information regarding processing activities to demonstrate compliance – including security measures taken, </w:t>
      </w:r>
      <w:r w:rsidRPr="00B838C9">
        <w:rPr>
          <w:rFonts w:cs="Arial"/>
          <w:sz w:val="22"/>
          <w:szCs w:val="22"/>
        </w:rPr>
        <w:lastRenderedPageBreak/>
        <w:t xml:space="preserve">disclosures made, what has been done to the information plus anything else you need to know as Controller to allow the processing to be audited. </w:t>
      </w:r>
    </w:p>
    <w:p w14:paraId="0A275CDE" w14:textId="77777777" w:rsidR="00CB5BA8" w:rsidRPr="00B838C9" w:rsidRDefault="00CB5BA8" w:rsidP="00CB5BA8">
      <w:pPr>
        <w:pStyle w:val="ListParagraph"/>
        <w:numPr>
          <w:ilvl w:val="0"/>
          <w:numId w:val="3"/>
        </w:numPr>
        <w:spacing w:after="200" w:line="276" w:lineRule="auto"/>
        <w:rPr>
          <w:rFonts w:cs="Arial"/>
          <w:sz w:val="22"/>
          <w:szCs w:val="22"/>
        </w:rPr>
      </w:pPr>
      <w:r w:rsidRPr="00B838C9">
        <w:rPr>
          <w:rFonts w:cs="Arial"/>
          <w:sz w:val="22"/>
          <w:szCs w:val="22"/>
        </w:rPr>
        <w:t xml:space="preserve">Provide that any legal requirements that the Processor is subject to which may require the disclosure of the personal data (such as Freedom of Information) should be notified to you as the Controller in advance, where possible. </w:t>
      </w:r>
    </w:p>
    <w:p w14:paraId="2322548B" w14:textId="722E66D6" w:rsidR="00CB5BA8" w:rsidRPr="00B838C9" w:rsidRDefault="00CB5BA8" w:rsidP="00CB5BA8">
      <w:pPr>
        <w:pStyle w:val="ListParagraph"/>
        <w:numPr>
          <w:ilvl w:val="0"/>
          <w:numId w:val="3"/>
        </w:numPr>
        <w:spacing w:after="200" w:line="276" w:lineRule="auto"/>
        <w:rPr>
          <w:rFonts w:cs="Arial"/>
          <w:sz w:val="22"/>
          <w:szCs w:val="22"/>
        </w:rPr>
      </w:pPr>
      <w:r w:rsidRPr="00B838C9">
        <w:rPr>
          <w:rFonts w:cs="Arial"/>
          <w:sz w:val="22"/>
          <w:szCs w:val="22"/>
        </w:rPr>
        <w:t xml:space="preserve">Be governed by law of England and Wales </w:t>
      </w:r>
    </w:p>
    <w:p w14:paraId="77120C32" w14:textId="77777777" w:rsidR="00CB5BA8" w:rsidRPr="000F00CD" w:rsidRDefault="00CB5BA8" w:rsidP="00CB5BA8">
      <w:pPr>
        <w:spacing w:after="200" w:line="276" w:lineRule="auto"/>
        <w:rPr>
          <w:rFonts w:cs="Arial"/>
          <w:sz w:val="22"/>
          <w:szCs w:val="22"/>
        </w:rPr>
      </w:pPr>
      <w:r>
        <w:rPr>
          <w:rFonts w:cs="Arial"/>
          <w:sz w:val="22"/>
          <w:szCs w:val="22"/>
        </w:rPr>
        <w:t xml:space="preserve">Note: </w:t>
      </w:r>
      <w:r w:rsidRPr="000F00CD">
        <w:rPr>
          <w:rFonts w:cs="Arial"/>
          <w:sz w:val="22"/>
          <w:szCs w:val="22"/>
        </w:rPr>
        <w:t>The GDPR refers to the possible development of standard clauses covering the compliance matters listed above. The position should therefore be monitored.</w:t>
      </w:r>
    </w:p>
    <w:p w14:paraId="0A6AC0BF" w14:textId="77777777" w:rsidR="00CB5BA8" w:rsidRPr="000F00CD" w:rsidRDefault="00CB5BA8" w:rsidP="00CB5BA8">
      <w:pPr>
        <w:spacing w:after="200" w:line="276" w:lineRule="auto"/>
        <w:jc w:val="left"/>
        <w:rPr>
          <w:rFonts w:cs="Arial"/>
          <w:sz w:val="22"/>
          <w:szCs w:val="22"/>
        </w:rPr>
      </w:pPr>
    </w:p>
    <w:p w14:paraId="3C710620" w14:textId="77777777" w:rsidR="00CB5BA8" w:rsidRPr="000F00CD" w:rsidRDefault="00CB5BA8" w:rsidP="004C5ADB">
      <w:pPr>
        <w:shd w:val="clear" w:color="auto" w:fill="92D050"/>
        <w:spacing w:after="200" w:line="276" w:lineRule="auto"/>
        <w:jc w:val="left"/>
        <w:rPr>
          <w:rFonts w:cs="Arial"/>
          <w:sz w:val="22"/>
          <w:szCs w:val="22"/>
        </w:rPr>
      </w:pPr>
      <w:r>
        <w:rPr>
          <w:rFonts w:cs="Arial"/>
          <w:sz w:val="22"/>
          <w:szCs w:val="22"/>
        </w:rPr>
        <w:t>CHECKLIST</w:t>
      </w:r>
    </w:p>
    <w:p w14:paraId="5704CFF1" w14:textId="7C496369" w:rsidR="00CB5BA8" w:rsidRPr="000F00CD" w:rsidRDefault="00CB5BA8" w:rsidP="00CB5BA8">
      <w:pPr>
        <w:spacing w:after="200" w:line="276" w:lineRule="auto"/>
        <w:ind w:left="720" w:hanging="720"/>
        <w:rPr>
          <w:rFonts w:cs="Arial"/>
          <w:sz w:val="22"/>
          <w:szCs w:val="22"/>
        </w:rPr>
      </w:pPr>
      <w:r w:rsidRPr="000F00CD">
        <w:rPr>
          <w:rFonts w:ascii="MS Gothic" w:eastAsia="MS Gothic" w:hAnsi="MS Gothic" w:cs="MS Gothic" w:hint="eastAsia"/>
          <w:sz w:val="22"/>
          <w:szCs w:val="22"/>
        </w:rPr>
        <w:t>☐</w:t>
      </w:r>
      <w:r w:rsidRPr="000F00CD">
        <w:rPr>
          <w:rFonts w:cs="Arial"/>
          <w:sz w:val="22"/>
          <w:szCs w:val="22"/>
        </w:rPr>
        <w:tab/>
        <w:t xml:space="preserve">Agreement is in writing under law of England and Wales  </w:t>
      </w:r>
    </w:p>
    <w:p w14:paraId="6EAA33FA" w14:textId="77777777" w:rsidR="00CB5BA8" w:rsidRPr="000F00CD" w:rsidRDefault="00CB5BA8" w:rsidP="00CB5BA8">
      <w:pPr>
        <w:spacing w:after="200" w:line="276" w:lineRule="auto"/>
        <w:rPr>
          <w:rFonts w:cs="Arial"/>
          <w:sz w:val="22"/>
          <w:szCs w:val="22"/>
        </w:rPr>
      </w:pPr>
      <w:r w:rsidRPr="000F00CD">
        <w:rPr>
          <w:rFonts w:ascii="MS Gothic" w:eastAsia="MS Gothic" w:hAnsi="MS Gothic" w:cs="MS Gothic" w:hint="eastAsia"/>
          <w:sz w:val="22"/>
          <w:szCs w:val="22"/>
        </w:rPr>
        <w:t>☐</w:t>
      </w:r>
      <w:r w:rsidRPr="000F00CD">
        <w:rPr>
          <w:rFonts w:cs="Arial"/>
          <w:sz w:val="22"/>
          <w:szCs w:val="22"/>
        </w:rPr>
        <w:tab/>
        <w:t xml:space="preserve">Names of Processor and Controller details </w:t>
      </w:r>
    </w:p>
    <w:p w14:paraId="1298FF73" w14:textId="77777777" w:rsidR="00CB5BA8" w:rsidRPr="000F00CD" w:rsidRDefault="00CB5BA8" w:rsidP="00CB5BA8">
      <w:pPr>
        <w:spacing w:after="200" w:line="276" w:lineRule="auto"/>
        <w:rPr>
          <w:rFonts w:cs="Arial"/>
          <w:sz w:val="22"/>
          <w:szCs w:val="22"/>
        </w:rPr>
      </w:pPr>
      <w:r w:rsidRPr="000F00CD">
        <w:rPr>
          <w:rFonts w:ascii="MS Gothic" w:eastAsia="MS Gothic" w:hAnsi="MS Gothic" w:cs="MS Gothic" w:hint="eastAsia"/>
          <w:sz w:val="22"/>
          <w:szCs w:val="22"/>
        </w:rPr>
        <w:t>☐</w:t>
      </w:r>
      <w:r w:rsidRPr="000F00CD">
        <w:rPr>
          <w:rFonts w:cs="Arial"/>
          <w:sz w:val="22"/>
          <w:szCs w:val="22"/>
        </w:rPr>
        <w:tab/>
        <w:t>Details of the processing project, its purpose, subject matter and duration</w:t>
      </w:r>
    </w:p>
    <w:p w14:paraId="128C9B8C" w14:textId="77777777" w:rsidR="00CB5BA8" w:rsidRPr="000F00CD" w:rsidRDefault="00CB5BA8" w:rsidP="00CB5BA8">
      <w:pPr>
        <w:spacing w:after="200" w:line="276" w:lineRule="auto"/>
        <w:rPr>
          <w:rFonts w:cs="Arial"/>
          <w:sz w:val="22"/>
          <w:szCs w:val="22"/>
        </w:rPr>
      </w:pPr>
      <w:r w:rsidRPr="000F00CD">
        <w:rPr>
          <w:rFonts w:ascii="MS Gothic" w:eastAsia="MS Gothic" w:hAnsi="MS Gothic" w:cs="MS Gothic" w:hint="eastAsia"/>
          <w:sz w:val="22"/>
          <w:szCs w:val="22"/>
        </w:rPr>
        <w:t>☐</w:t>
      </w:r>
      <w:r w:rsidRPr="000F00CD">
        <w:rPr>
          <w:rFonts w:cs="Arial"/>
          <w:sz w:val="22"/>
          <w:szCs w:val="22"/>
        </w:rPr>
        <w:tab/>
        <w:t xml:space="preserve">Processor can only act on instructions of Controller </w:t>
      </w:r>
    </w:p>
    <w:p w14:paraId="37380940" w14:textId="77777777" w:rsidR="00CB5BA8" w:rsidRPr="000F00CD" w:rsidRDefault="00CB5BA8" w:rsidP="00CB5BA8">
      <w:pPr>
        <w:spacing w:after="200" w:line="276" w:lineRule="auto"/>
        <w:rPr>
          <w:rFonts w:cs="Arial"/>
          <w:sz w:val="22"/>
          <w:szCs w:val="22"/>
        </w:rPr>
      </w:pPr>
      <w:r w:rsidRPr="000F00CD">
        <w:rPr>
          <w:rFonts w:ascii="MS Gothic" w:eastAsia="MS Gothic" w:hAnsi="MS Gothic" w:cs="MS Gothic" w:hint="eastAsia"/>
          <w:sz w:val="22"/>
          <w:szCs w:val="22"/>
        </w:rPr>
        <w:t>☐</w:t>
      </w:r>
      <w:r w:rsidRPr="000F00CD">
        <w:rPr>
          <w:rFonts w:cs="Arial"/>
          <w:sz w:val="22"/>
          <w:szCs w:val="22"/>
        </w:rPr>
        <w:tab/>
        <w:t xml:space="preserve">Duty of confidentiality for Processor’s staff </w:t>
      </w:r>
    </w:p>
    <w:p w14:paraId="7BC7A959" w14:textId="77777777" w:rsidR="00CB5BA8" w:rsidRPr="000F00CD" w:rsidRDefault="00CB5BA8" w:rsidP="00CB5BA8">
      <w:pPr>
        <w:spacing w:after="200" w:line="276" w:lineRule="auto"/>
        <w:rPr>
          <w:rFonts w:cs="Arial"/>
          <w:sz w:val="22"/>
          <w:szCs w:val="22"/>
        </w:rPr>
      </w:pPr>
      <w:r w:rsidRPr="000F00CD">
        <w:rPr>
          <w:rFonts w:ascii="MS Gothic" w:eastAsia="MS Gothic" w:hAnsi="MS Gothic" w:cs="MS Gothic" w:hint="eastAsia"/>
          <w:sz w:val="22"/>
          <w:szCs w:val="22"/>
        </w:rPr>
        <w:t>☐</w:t>
      </w:r>
      <w:r w:rsidRPr="000F00CD">
        <w:rPr>
          <w:rFonts w:cs="Arial"/>
          <w:sz w:val="22"/>
          <w:szCs w:val="22"/>
        </w:rPr>
        <w:tab/>
        <w:t xml:space="preserve">Processor to implement necessary security measures </w:t>
      </w:r>
    </w:p>
    <w:p w14:paraId="35B8B803" w14:textId="77777777" w:rsidR="00CB5BA8" w:rsidRPr="000F00CD" w:rsidRDefault="00CB5BA8" w:rsidP="00CB5BA8">
      <w:pPr>
        <w:spacing w:after="200" w:line="276" w:lineRule="auto"/>
        <w:rPr>
          <w:rFonts w:cs="Arial"/>
          <w:sz w:val="22"/>
          <w:szCs w:val="22"/>
        </w:rPr>
      </w:pPr>
      <w:r w:rsidRPr="000F00CD">
        <w:rPr>
          <w:rFonts w:ascii="MS Gothic" w:eastAsia="MS Gothic" w:hAnsi="MS Gothic" w:cs="MS Gothic" w:hint="eastAsia"/>
          <w:sz w:val="22"/>
          <w:szCs w:val="22"/>
        </w:rPr>
        <w:t>☐</w:t>
      </w:r>
      <w:r w:rsidRPr="000F00CD">
        <w:rPr>
          <w:rFonts w:cs="Arial"/>
          <w:sz w:val="22"/>
          <w:szCs w:val="22"/>
        </w:rPr>
        <w:tab/>
        <w:t xml:space="preserve">Only sub-contract with Controller’s permission </w:t>
      </w:r>
    </w:p>
    <w:p w14:paraId="0A782E86" w14:textId="77777777" w:rsidR="00CB5BA8" w:rsidRPr="000F00CD" w:rsidRDefault="00CB5BA8" w:rsidP="00CB5BA8">
      <w:pPr>
        <w:spacing w:after="200" w:line="276" w:lineRule="auto"/>
        <w:rPr>
          <w:rFonts w:cs="Arial"/>
          <w:sz w:val="22"/>
          <w:szCs w:val="22"/>
        </w:rPr>
      </w:pPr>
      <w:r w:rsidRPr="000F00CD">
        <w:rPr>
          <w:rFonts w:ascii="MS Gothic" w:eastAsia="MS Gothic" w:hAnsi="MS Gothic" w:cs="MS Gothic" w:hint="eastAsia"/>
          <w:sz w:val="22"/>
          <w:szCs w:val="22"/>
        </w:rPr>
        <w:t>☐</w:t>
      </w:r>
      <w:r w:rsidRPr="000F00CD">
        <w:rPr>
          <w:rFonts w:cs="Arial"/>
          <w:sz w:val="22"/>
          <w:szCs w:val="22"/>
        </w:rPr>
        <w:tab/>
      </w:r>
      <w:proofErr w:type="gramStart"/>
      <w:r w:rsidRPr="000F00CD">
        <w:rPr>
          <w:rFonts w:cs="Arial"/>
          <w:sz w:val="22"/>
          <w:szCs w:val="22"/>
        </w:rPr>
        <w:t>Make arrangements</w:t>
      </w:r>
      <w:proofErr w:type="gramEnd"/>
      <w:r w:rsidRPr="000F00CD">
        <w:rPr>
          <w:rFonts w:cs="Arial"/>
          <w:sz w:val="22"/>
          <w:szCs w:val="22"/>
        </w:rPr>
        <w:t xml:space="preserve"> which allow Controller to respect rights of data subjects </w:t>
      </w:r>
    </w:p>
    <w:p w14:paraId="3F9D7F94" w14:textId="77777777" w:rsidR="00CB5BA8" w:rsidRPr="000F00CD" w:rsidRDefault="00CB5BA8" w:rsidP="00CB5BA8">
      <w:pPr>
        <w:spacing w:after="200" w:line="276" w:lineRule="auto"/>
        <w:rPr>
          <w:rFonts w:cs="Arial"/>
          <w:sz w:val="22"/>
          <w:szCs w:val="22"/>
        </w:rPr>
      </w:pPr>
      <w:r w:rsidRPr="000F00CD">
        <w:rPr>
          <w:rFonts w:ascii="MS Gothic" w:eastAsia="MS Gothic" w:hAnsi="MS Gothic" w:cs="MS Gothic" w:hint="eastAsia"/>
          <w:sz w:val="22"/>
          <w:szCs w:val="22"/>
        </w:rPr>
        <w:t>☐</w:t>
      </w:r>
      <w:r w:rsidRPr="000F00CD">
        <w:rPr>
          <w:rFonts w:cs="Arial"/>
          <w:sz w:val="22"/>
          <w:szCs w:val="22"/>
        </w:rPr>
        <w:t xml:space="preserve"> </w:t>
      </w:r>
      <w:r w:rsidRPr="000F00CD">
        <w:rPr>
          <w:rFonts w:cs="Arial"/>
          <w:sz w:val="22"/>
          <w:szCs w:val="22"/>
        </w:rPr>
        <w:tab/>
        <w:t xml:space="preserve">Assist the Controller with security and other data protection compliance </w:t>
      </w:r>
    </w:p>
    <w:p w14:paraId="183433C0" w14:textId="77777777" w:rsidR="00CB5BA8" w:rsidRPr="000F00CD" w:rsidRDefault="00CB5BA8" w:rsidP="00CB5BA8">
      <w:pPr>
        <w:spacing w:after="200" w:line="276" w:lineRule="auto"/>
        <w:rPr>
          <w:rFonts w:cs="Arial"/>
          <w:sz w:val="22"/>
          <w:szCs w:val="22"/>
        </w:rPr>
      </w:pPr>
      <w:r w:rsidRPr="000F00CD">
        <w:rPr>
          <w:rFonts w:ascii="MS Gothic" w:eastAsia="MS Gothic" w:hAnsi="MS Gothic" w:cs="MS Gothic" w:hint="eastAsia"/>
          <w:sz w:val="22"/>
          <w:szCs w:val="22"/>
        </w:rPr>
        <w:t>☐</w:t>
      </w:r>
      <w:r w:rsidRPr="000F00CD">
        <w:rPr>
          <w:rFonts w:cs="Arial"/>
          <w:sz w:val="22"/>
          <w:szCs w:val="22"/>
        </w:rPr>
        <w:t xml:space="preserve"> </w:t>
      </w:r>
      <w:r w:rsidRPr="000F00CD">
        <w:rPr>
          <w:rFonts w:cs="Arial"/>
          <w:sz w:val="22"/>
          <w:szCs w:val="22"/>
        </w:rPr>
        <w:tab/>
        <w:t xml:space="preserve">Assist the Controller with Information Commissioner requirements </w:t>
      </w:r>
    </w:p>
    <w:p w14:paraId="25B1FE34" w14:textId="77777777" w:rsidR="00CB5BA8" w:rsidRPr="000F00CD" w:rsidRDefault="00CB5BA8" w:rsidP="00CB5BA8">
      <w:pPr>
        <w:spacing w:after="200" w:line="276" w:lineRule="auto"/>
        <w:rPr>
          <w:rFonts w:cs="Arial"/>
          <w:sz w:val="22"/>
          <w:szCs w:val="22"/>
        </w:rPr>
      </w:pPr>
      <w:r w:rsidRPr="000F00CD">
        <w:rPr>
          <w:rFonts w:ascii="MS Gothic" w:eastAsia="MS Gothic" w:hAnsi="MS Gothic" w:cs="MS Gothic" w:hint="eastAsia"/>
          <w:sz w:val="22"/>
          <w:szCs w:val="22"/>
        </w:rPr>
        <w:t>☐</w:t>
      </w:r>
      <w:r w:rsidRPr="000F00CD">
        <w:rPr>
          <w:rFonts w:cs="Arial"/>
          <w:sz w:val="22"/>
          <w:szCs w:val="22"/>
        </w:rPr>
        <w:t xml:space="preserve"> </w:t>
      </w:r>
      <w:r w:rsidRPr="000F00CD">
        <w:rPr>
          <w:rFonts w:cs="Arial"/>
          <w:sz w:val="22"/>
          <w:szCs w:val="22"/>
        </w:rPr>
        <w:tab/>
        <w:t xml:space="preserve">Delete or return data at the end of the contract </w:t>
      </w:r>
    </w:p>
    <w:p w14:paraId="3871E63C" w14:textId="77777777" w:rsidR="00CB5BA8" w:rsidRPr="000F00CD" w:rsidRDefault="00CB5BA8" w:rsidP="00CB5BA8">
      <w:pPr>
        <w:spacing w:after="200" w:line="276" w:lineRule="auto"/>
        <w:rPr>
          <w:rFonts w:cs="Arial"/>
          <w:sz w:val="22"/>
          <w:szCs w:val="22"/>
        </w:rPr>
      </w:pPr>
      <w:r w:rsidRPr="000F00CD">
        <w:rPr>
          <w:rFonts w:ascii="MS Gothic" w:eastAsia="MS Gothic" w:hAnsi="MS Gothic" w:cs="MS Gothic" w:hint="eastAsia"/>
          <w:sz w:val="22"/>
          <w:szCs w:val="22"/>
        </w:rPr>
        <w:t>☐</w:t>
      </w:r>
      <w:r w:rsidRPr="000F00CD">
        <w:rPr>
          <w:rFonts w:cs="Arial"/>
          <w:sz w:val="22"/>
          <w:szCs w:val="22"/>
        </w:rPr>
        <w:t xml:space="preserve"> </w:t>
      </w:r>
      <w:r w:rsidRPr="000F00CD">
        <w:rPr>
          <w:rFonts w:cs="Arial"/>
          <w:sz w:val="22"/>
          <w:szCs w:val="22"/>
        </w:rPr>
        <w:tab/>
        <w:t xml:space="preserve">Details of processing activities to be made available to Controller </w:t>
      </w:r>
    </w:p>
    <w:p w14:paraId="049A615E" w14:textId="77777777" w:rsidR="00CB5BA8" w:rsidRPr="000F00CD" w:rsidRDefault="00CB5BA8" w:rsidP="00CB5BA8">
      <w:pPr>
        <w:spacing w:after="200" w:line="276" w:lineRule="auto"/>
        <w:rPr>
          <w:rFonts w:cs="Arial"/>
          <w:sz w:val="22"/>
          <w:szCs w:val="22"/>
        </w:rPr>
      </w:pPr>
      <w:r w:rsidRPr="000F00CD">
        <w:rPr>
          <w:rFonts w:ascii="MS Gothic" w:eastAsia="MS Gothic" w:hAnsi="MS Gothic" w:cs="MS Gothic" w:hint="eastAsia"/>
          <w:sz w:val="22"/>
          <w:szCs w:val="22"/>
        </w:rPr>
        <w:t>☐</w:t>
      </w:r>
      <w:r w:rsidRPr="000F00CD">
        <w:rPr>
          <w:rFonts w:cs="Arial"/>
          <w:sz w:val="22"/>
          <w:szCs w:val="22"/>
        </w:rPr>
        <w:t xml:space="preserve"> </w:t>
      </w:r>
      <w:r w:rsidRPr="000F00CD">
        <w:rPr>
          <w:rFonts w:cs="Arial"/>
          <w:sz w:val="22"/>
          <w:szCs w:val="22"/>
        </w:rPr>
        <w:tab/>
        <w:t>Any legal requirements for disclosure to third party by Processor to be notified</w:t>
      </w:r>
    </w:p>
    <w:p w14:paraId="31961742" w14:textId="77777777" w:rsidR="00E37F8E" w:rsidRDefault="00E37F8E" w:rsidP="00467A54">
      <w:pPr>
        <w:spacing w:after="200" w:line="276" w:lineRule="auto"/>
        <w:jc w:val="left"/>
      </w:pPr>
    </w:p>
    <w:sectPr w:rsidR="00E37F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16706"/>
    <w:multiLevelType w:val="hybridMultilevel"/>
    <w:tmpl w:val="7AEC5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662B3"/>
    <w:multiLevelType w:val="hybridMultilevel"/>
    <w:tmpl w:val="EF84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205D7"/>
    <w:multiLevelType w:val="hybridMultilevel"/>
    <w:tmpl w:val="5E04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E84924"/>
    <w:multiLevelType w:val="hybridMultilevel"/>
    <w:tmpl w:val="461A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841109">
    <w:abstractNumId w:val="3"/>
  </w:num>
  <w:num w:numId="2" w16cid:durableId="2022582872">
    <w:abstractNumId w:val="2"/>
  </w:num>
  <w:num w:numId="3" w16cid:durableId="1690334746">
    <w:abstractNumId w:val="1"/>
  </w:num>
  <w:num w:numId="4" w16cid:durableId="55732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BA8"/>
    <w:rsid w:val="000639F3"/>
    <w:rsid w:val="00366198"/>
    <w:rsid w:val="00467A54"/>
    <w:rsid w:val="004C5ADB"/>
    <w:rsid w:val="0067454C"/>
    <w:rsid w:val="00814898"/>
    <w:rsid w:val="00AC5628"/>
    <w:rsid w:val="00AF46A8"/>
    <w:rsid w:val="00C01367"/>
    <w:rsid w:val="00CB5BA8"/>
    <w:rsid w:val="00D14B81"/>
    <w:rsid w:val="00DC1741"/>
    <w:rsid w:val="00E37F8E"/>
    <w:rsid w:val="00F33CD6"/>
    <w:rsid w:val="00FB4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CD17"/>
  <w15:chartTrackingRefBased/>
  <w15:docId w15:val="{E686AC4C-A475-46D2-B2F0-58AFD2CE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5BA8"/>
    <w:pPr>
      <w:spacing w:after="120" w:line="240" w:lineRule="auto"/>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BA8"/>
    <w:pPr>
      <w:ind w:left="720"/>
      <w:contextualSpacing/>
    </w:pPr>
  </w:style>
  <w:style w:type="paragraph" w:styleId="BalloonText">
    <w:name w:val="Balloon Text"/>
    <w:basedOn w:val="Normal"/>
    <w:link w:val="BalloonTextChar"/>
    <w:uiPriority w:val="99"/>
    <w:semiHidden/>
    <w:unhideWhenUsed/>
    <w:rsid w:val="004C5A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ADB"/>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9e23b9-0670-4804-992e-6cfa1fa77fcb">
      <Terms xmlns="http://schemas.microsoft.com/office/infopath/2007/PartnerControls"/>
    </lcf76f155ced4ddcb4097134ff3c332f>
    <TaxCatchAll xmlns="8ca89b0f-138e-42c3-a18f-efe423df65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43C116416D46AC6B118567BF2DFB" ma:contentTypeVersion="14" ma:contentTypeDescription="Create a new document." ma:contentTypeScope="" ma:versionID="1336f796aa383baa60e4395032795873">
  <xsd:schema xmlns:xsd="http://www.w3.org/2001/XMLSchema" xmlns:xs="http://www.w3.org/2001/XMLSchema" xmlns:p="http://schemas.microsoft.com/office/2006/metadata/properties" xmlns:ns2="689e23b9-0670-4804-992e-6cfa1fa77fcb" xmlns:ns3="8ca89b0f-138e-42c3-a18f-efe423df65ec" targetNamespace="http://schemas.microsoft.com/office/2006/metadata/properties" ma:root="true" ma:fieldsID="77f210919a1356d030c0889b28577298" ns2:_="" ns3:_="">
    <xsd:import namespace="689e23b9-0670-4804-992e-6cfa1fa77fcb"/>
    <xsd:import namespace="8ca89b0f-138e-42c3-a18f-efe423df65e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e23b9-0670-4804-992e-6cfa1fa77fc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89b0f-138e-42c3-a18f-efe423df65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1b9d51-35d0-42fa-a0d6-42445742c259}" ma:internalName="TaxCatchAll" ma:showField="CatchAllData" ma:web="8ca89b0f-138e-42c3-a18f-efe423df65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D1255-5CCC-4404-8209-9B13049A1484}">
  <ds:schemaRefs>
    <ds:schemaRef ds:uri="http://schemas.microsoft.com/office/2006/metadata/properties"/>
    <ds:schemaRef ds:uri="http://schemas.microsoft.com/office/infopath/2007/PartnerControls"/>
    <ds:schemaRef ds:uri="689e23b9-0670-4804-992e-6cfa1fa77fcb"/>
    <ds:schemaRef ds:uri="8ca89b0f-138e-42c3-a18f-efe423df65ec"/>
  </ds:schemaRefs>
</ds:datastoreItem>
</file>

<file path=customXml/itemProps2.xml><?xml version="1.0" encoding="utf-8"?>
<ds:datastoreItem xmlns:ds="http://schemas.openxmlformats.org/officeDocument/2006/customXml" ds:itemID="{A37DD11E-88C4-43C2-93D3-A4D0C8FB7729}">
  <ds:schemaRefs>
    <ds:schemaRef ds:uri="http://schemas.microsoft.com/sharepoint/v3/contenttype/forms"/>
  </ds:schemaRefs>
</ds:datastoreItem>
</file>

<file path=customXml/itemProps3.xml><?xml version="1.0" encoding="utf-8"?>
<ds:datastoreItem xmlns:ds="http://schemas.openxmlformats.org/officeDocument/2006/customXml" ds:itemID="{2E0CF30B-10B2-4763-A66B-E52B2AF96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e23b9-0670-4804-992e-6cfa1fa77fcb"/>
    <ds:schemaRef ds:uri="8ca89b0f-138e-42c3-a18f-efe423df6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Equals Trust CEO</dc:creator>
  <cp:keywords/>
  <dc:description/>
  <cp:lastModifiedBy>Catherine Cox</cp:lastModifiedBy>
  <cp:revision>2</cp:revision>
  <cp:lastPrinted>2018-05-16T09:29:00Z</cp:lastPrinted>
  <dcterms:created xsi:type="dcterms:W3CDTF">2024-07-05T16:08:00Z</dcterms:created>
  <dcterms:modified xsi:type="dcterms:W3CDTF">2024-07-05T16:08:00Z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0x010100B3FC43C116416D46AC6B118567BF2DFB</vt:lpwstr>
  </property>
  <property fmtid="{D5CDD505-2E9C-101B-9397-08002B2CF9AE}" pid="3" name="MediaServiceImageTags">
    <vt:lpwstr/>
  </property>
</Properties>
</file>